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8F" w:rsidRPr="00AD467E" w:rsidRDefault="00143C8F" w:rsidP="00143C8F">
      <w:pPr>
        <w:pStyle w:val="Heading2"/>
      </w:pPr>
      <w:bookmarkStart w:id="0" w:name="_Toc432626787"/>
      <w:bookmarkStart w:id="1" w:name="_GoBack"/>
      <w:bookmarkEnd w:id="1"/>
      <w:r w:rsidRPr="00AD467E">
        <w:t>Appendix  –</w:t>
      </w:r>
      <w:r>
        <w:t xml:space="preserve"> </w:t>
      </w:r>
      <w:r w:rsidRPr="00AD467E">
        <w:t xml:space="preserve"> </w:t>
      </w:r>
      <w:bookmarkEnd w:id="0"/>
      <w:r>
        <w:t>Error and Omission and Late Reported Notifications template</w:t>
      </w:r>
    </w:p>
    <w:p w:rsidR="00F77D81" w:rsidRPr="00E05822" w:rsidRDefault="00051A4A" w:rsidP="00F77D8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An "Error and Omission" (E</w:t>
      </w:r>
      <w:r w:rsidR="00DD6BF7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&amp;</w:t>
      </w:r>
      <w:r w:rsidR="00DD6BF7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O) is an unintentional error, omission, oversight, delay, or </w:t>
      </w:r>
      <w:r w:rsidR="00F77D81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misinterpretation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in the administration of the Reinsurance Agreement (Treaty) by </w:t>
      </w:r>
      <w:r w:rsidRPr="00E05822">
        <w:rPr>
          <w:rFonts w:ascii="Cambria" w:eastAsia="Times New Roman" w:hAnsi="Cambria" w:cs="Calibri"/>
          <w:b/>
          <w:bCs/>
          <w:color w:val="333333"/>
          <w:sz w:val="20"/>
          <w:szCs w:val="20"/>
        </w:rPr>
        <w:t>either party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. </w:t>
      </w:r>
      <w:r w:rsidR="0022529D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The intent of the E &amp; O provision in the treaty is </w:t>
      </w:r>
      <w:r w:rsidR="004179B2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to make both parties whole as if the unintentional error never occurred </w:t>
      </w:r>
      <w:r w:rsidR="004179B2">
        <w:rPr>
          <w:rFonts w:ascii="Cambria" w:eastAsia="Times New Roman" w:hAnsi="Cambria" w:cs="Calibri"/>
          <w:color w:val="333333"/>
          <w:sz w:val="20"/>
          <w:szCs w:val="20"/>
        </w:rPr>
        <w:t xml:space="preserve">and </w:t>
      </w:r>
      <w:r w:rsidR="0022529D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not </w:t>
      </w:r>
      <w:r w:rsidR="004179B2">
        <w:rPr>
          <w:rFonts w:ascii="Cambria" w:eastAsia="Times New Roman" w:hAnsi="Cambria" w:cs="Calibri"/>
          <w:color w:val="333333"/>
          <w:sz w:val="20"/>
          <w:szCs w:val="20"/>
        </w:rPr>
        <w:t xml:space="preserve">be </w:t>
      </w:r>
      <w:r w:rsidR="00DD6BF7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a remedy </w:t>
      </w:r>
      <w:r w:rsidR="00F21BDB" w:rsidRPr="00E05822">
        <w:rPr>
          <w:rFonts w:ascii="Cambria" w:eastAsia="Times New Roman" w:hAnsi="Cambria" w:cs="Calibri"/>
          <w:color w:val="333333"/>
          <w:sz w:val="20"/>
          <w:szCs w:val="20"/>
        </w:rPr>
        <w:t>for poor recordkeeping</w:t>
      </w:r>
      <w:r w:rsidR="00502C16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. </w:t>
      </w:r>
      <w:r w:rsidR="007644C3" w:rsidRPr="00E05822">
        <w:rPr>
          <w:rFonts w:ascii="Cambria" w:eastAsia="Times New Roman" w:hAnsi="Cambria" w:cs="Calibri"/>
          <w:color w:val="333333"/>
          <w:sz w:val="20"/>
          <w:szCs w:val="20"/>
        </w:rPr>
        <w:t>E &amp; O’s are o</w:t>
      </w:r>
      <w:r w:rsidR="00A0095A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ften the result of late reported transactions such as new business, terminations, etc. </w:t>
      </w:r>
      <w:r w:rsidR="00F77D81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Limiting </w:t>
      </w:r>
      <w:r w:rsidR="004B6D85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the number of </w:t>
      </w:r>
      <w:r w:rsidR="00F77D81" w:rsidRPr="00E05822">
        <w:rPr>
          <w:rFonts w:ascii="Cambria" w:eastAsia="Times New Roman" w:hAnsi="Cambria" w:cs="Calibri"/>
          <w:color w:val="333333"/>
          <w:sz w:val="20"/>
          <w:szCs w:val="20"/>
        </w:rPr>
        <w:t>E</w:t>
      </w:r>
      <w:r w:rsidR="003310FC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="00F77D81" w:rsidRPr="00E05822">
        <w:rPr>
          <w:rFonts w:ascii="Cambria" w:eastAsia="Times New Roman" w:hAnsi="Cambria" w:cs="Calibri"/>
          <w:color w:val="333333"/>
          <w:sz w:val="20"/>
          <w:szCs w:val="20"/>
        </w:rPr>
        <w:t>&amp;</w:t>
      </w:r>
      <w:r w:rsidR="003310FC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="00F77D81" w:rsidRPr="00E05822">
        <w:rPr>
          <w:rFonts w:ascii="Cambria" w:eastAsia="Times New Roman" w:hAnsi="Cambria" w:cs="Calibri"/>
          <w:color w:val="333333"/>
          <w:sz w:val="20"/>
          <w:szCs w:val="20"/>
        </w:rPr>
        <w:t>O’s is critical to effectively manag</w:t>
      </w:r>
      <w:r w:rsidR="004179B2">
        <w:rPr>
          <w:rFonts w:ascii="Cambria" w:eastAsia="Times New Roman" w:hAnsi="Cambria" w:cs="Calibri"/>
          <w:color w:val="333333"/>
          <w:sz w:val="20"/>
          <w:szCs w:val="20"/>
        </w:rPr>
        <w:t xml:space="preserve">e the </w:t>
      </w:r>
      <w:r w:rsidR="00F77D81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risk for the ceding company and the reinsurer. Therefore it is important to promptly report any E &amp; O’s and identify/remedy the cause to prevent them from occurring again. </w:t>
      </w:r>
    </w:p>
    <w:p w:rsidR="004B6D85" w:rsidRPr="00E05822" w:rsidRDefault="004B6D85" w:rsidP="00F77D8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b/>
          <w:color w:val="333333"/>
          <w:sz w:val="20"/>
          <w:szCs w:val="20"/>
        </w:rPr>
        <w:t xml:space="preserve">NOTE: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E</w:t>
      </w:r>
      <w:r w:rsidR="009B6F85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&amp;</w:t>
      </w:r>
      <w:r w:rsidR="009B6F85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O’s involving </w:t>
      </w:r>
      <w:r w:rsidR="00226880" w:rsidRPr="00E05822">
        <w:rPr>
          <w:rFonts w:ascii="Cambria" w:eastAsia="Times New Roman" w:hAnsi="Cambria" w:cs="Calibri"/>
          <w:color w:val="333333"/>
          <w:sz w:val="20"/>
          <w:szCs w:val="20"/>
        </w:rPr>
        <w:t>f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acultative cases typically are referenced specifically in the treaty and are assessed on a case by case basis. </w:t>
      </w:r>
    </w:p>
    <w:p w:rsidR="001178F1" w:rsidRPr="00E05822" w:rsidRDefault="00F21BDB" w:rsidP="001178F1">
      <w:pPr>
        <w:spacing w:after="0" w:line="240" w:lineRule="auto"/>
        <w:rPr>
          <w:rFonts w:ascii="Cambria" w:eastAsia="Times New Roman" w:hAnsi="Cambria" w:cs="Calibri"/>
          <w:bCs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>When an</w:t>
      </w:r>
      <w:r w:rsidR="00A0095A"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 xml:space="preserve"> E &amp; O </w:t>
      </w:r>
      <w:r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 xml:space="preserve">or late reported item </w:t>
      </w:r>
      <w:r w:rsidR="00A0095A"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 xml:space="preserve">is </w:t>
      </w:r>
      <w:r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>identified</w:t>
      </w:r>
      <w:r w:rsidR="00A0095A"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 xml:space="preserve"> it is best to gather the facts </w:t>
      </w:r>
      <w:r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 xml:space="preserve">and </w:t>
      </w:r>
      <w:r w:rsidR="00A0095A"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>be prepared to communicate the details of the error</w:t>
      </w:r>
      <w:r w:rsidR="001178F1"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 xml:space="preserve"> to the </w:t>
      </w:r>
      <w:r w:rsidR="00DD6BF7"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>impacted</w:t>
      </w:r>
      <w:r w:rsidR="001178F1"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 xml:space="preserve"> party</w:t>
      </w:r>
      <w:r w:rsidR="00A0095A"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 xml:space="preserve">. </w:t>
      </w:r>
      <w:r w:rsidR="00DD6BF7"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>I</w:t>
      </w:r>
      <w:r w:rsidR="00A0095A"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 xml:space="preserve">tems to consider </w:t>
      </w:r>
      <w:r w:rsidR="00DD6BF7"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>include</w:t>
      </w:r>
      <w:r w:rsidR="00A0095A"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>:</w:t>
      </w:r>
      <w:r w:rsidR="00051A4A" w:rsidRPr="00E05822">
        <w:rPr>
          <w:rFonts w:ascii="Cambria" w:eastAsia="Times New Roman" w:hAnsi="Cambria" w:cs="Calibri"/>
          <w:color w:val="333333"/>
          <w:sz w:val="20"/>
          <w:szCs w:val="20"/>
        </w:rPr>
        <w:br/>
      </w:r>
    </w:p>
    <w:p w:rsidR="007360C0" w:rsidRPr="00E05822" w:rsidRDefault="007360C0" w:rsidP="00256835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 xml:space="preserve">When an E &amp; O </w:t>
      </w:r>
      <w:r w:rsidR="00051A4A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is </w:t>
      </w:r>
      <w:r w:rsidRPr="00E05822">
        <w:rPr>
          <w:rFonts w:ascii="Cambria" w:eastAsia="Times New Roman" w:hAnsi="Cambria" w:cs="Calibri"/>
          <w:bCs/>
          <w:color w:val="333333"/>
          <w:sz w:val="20"/>
          <w:szCs w:val="20"/>
        </w:rPr>
        <w:t>identified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r</w:t>
      </w:r>
      <w:r w:rsidR="00051A4A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eview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the </w:t>
      </w:r>
      <w:r w:rsidR="00051A4A" w:rsidRPr="00E05822">
        <w:rPr>
          <w:rFonts w:ascii="Cambria" w:eastAsia="Times New Roman" w:hAnsi="Cambria" w:cs="Calibri"/>
          <w:color w:val="333333"/>
          <w:sz w:val="20"/>
          <w:szCs w:val="20"/>
        </w:rPr>
        <w:t>E &amp; O or Oversight Provision in the Treaty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for the specific terms</w:t>
      </w:r>
      <w:r w:rsidR="00051A4A" w:rsidRPr="00E05822">
        <w:rPr>
          <w:rFonts w:ascii="Cambria" w:eastAsia="Times New Roman" w:hAnsi="Cambria" w:cs="Calibri"/>
          <w:color w:val="333333"/>
          <w:sz w:val="20"/>
          <w:szCs w:val="20"/>
        </w:rPr>
        <w:t>.</w:t>
      </w:r>
    </w:p>
    <w:p w:rsidR="007360C0" w:rsidRPr="00E05822" w:rsidRDefault="007360C0" w:rsidP="00256835">
      <w:pPr>
        <w:numPr>
          <w:ilvl w:val="0"/>
          <w:numId w:val="4"/>
        </w:numPr>
        <w:spacing w:before="150" w:after="0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Research how the error was </w:t>
      </w:r>
      <w:r w:rsidR="00F21BDB" w:rsidRPr="00E05822">
        <w:rPr>
          <w:rFonts w:ascii="Cambria" w:eastAsia="Times New Roman" w:hAnsi="Cambria" w:cs="Calibri"/>
          <w:color w:val="333333"/>
          <w:sz w:val="20"/>
          <w:szCs w:val="20"/>
        </w:rPr>
        <w:t>found</w:t>
      </w:r>
      <w:r w:rsidR="00502C16" w:rsidRPr="00E05822">
        <w:rPr>
          <w:rFonts w:ascii="Cambria" w:eastAsia="Times New Roman" w:hAnsi="Cambria" w:cs="Calibri"/>
          <w:color w:val="333333"/>
          <w:sz w:val="20"/>
          <w:szCs w:val="20"/>
        </w:rPr>
        <w:t>, when did it occur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and </w:t>
      </w:r>
      <w:r w:rsidR="00502C16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what was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the cause of it </w:t>
      </w:r>
      <w:r w:rsidR="00F21BDB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to ascertain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the number of active and </w:t>
      </w:r>
      <w:r w:rsidR="00B75A4A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inactive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policies affected. Consider the impact to past reinsurance premiums paid </w:t>
      </w:r>
      <w:r w:rsidR="00F21BDB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or due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for </w:t>
      </w:r>
      <w:r w:rsidR="00A0095A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the </w:t>
      </w:r>
      <w:r w:rsidR="00B75A4A" w:rsidRPr="00E05822">
        <w:rPr>
          <w:rFonts w:ascii="Cambria" w:eastAsia="Times New Roman" w:hAnsi="Cambria" w:cs="Calibri"/>
          <w:color w:val="333333"/>
          <w:sz w:val="20"/>
          <w:szCs w:val="20"/>
        </w:rPr>
        <w:t>affected p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olicies. If </w:t>
      </w:r>
      <w:r w:rsidR="00A0095A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this results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in a material amount </w:t>
      </w:r>
      <w:r w:rsidR="001178F1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of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premium</w:t>
      </w:r>
      <w:r w:rsidR="00F21BDB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due from either party</w:t>
      </w:r>
      <w:r w:rsidR="001178F1" w:rsidRPr="00E05822">
        <w:rPr>
          <w:rFonts w:ascii="Cambria" w:eastAsia="Times New Roman" w:hAnsi="Cambria" w:cs="Calibri"/>
          <w:color w:val="333333"/>
          <w:sz w:val="20"/>
          <w:szCs w:val="20"/>
        </w:rPr>
        <w:t>,</w:t>
      </w:r>
      <w:r w:rsidR="00A0095A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="00F21BDB" w:rsidRPr="00E05822">
        <w:rPr>
          <w:rFonts w:ascii="Cambria" w:eastAsia="Times New Roman" w:hAnsi="Cambria" w:cs="Calibri"/>
          <w:color w:val="333333"/>
          <w:sz w:val="20"/>
          <w:szCs w:val="20"/>
        </w:rPr>
        <w:t>estimated premiums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="00F21BDB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(provisions)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may need to be </w:t>
      </w:r>
      <w:r w:rsidR="001178F1" w:rsidRPr="00E05822">
        <w:rPr>
          <w:rFonts w:ascii="Cambria" w:eastAsia="Times New Roman" w:hAnsi="Cambria" w:cs="Calibri"/>
          <w:color w:val="333333"/>
          <w:sz w:val="20"/>
          <w:szCs w:val="20"/>
        </w:rPr>
        <w:t>established</w:t>
      </w:r>
      <w:r w:rsidR="00F21BDB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and considered in the company’s financials.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</w:p>
    <w:p w:rsidR="007360C0" w:rsidRPr="00E05822" w:rsidRDefault="00502C16" w:rsidP="00256835">
      <w:pPr>
        <w:numPr>
          <w:ilvl w:val="0"/>
          <w:numId w:val="4"/>
        </w:numPr>
        <w:spacing w:before="150" w:after="0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Review all prior claims associated with t</w:t>
      </w:r>
      <w:r w:rsidR="007360C0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he impacted policies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to </w:t>
      </w:r>
      <w:r w:rsidR="007360C0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verify if current pending or past paid claims </w:t>
      </w:r>
      <w:r w:rsidR="008A73E7" w:rsidRPr="00E05822">
        <w:rPr>
          <w:rFonts w:ascii="Cambria" w:eastAsia="Times New Roman" w:hAnsi="Cambria" w:cs="Calibri"/>
          <w:color w:val="333333"/>
          <w:sz w:val="20"/>
          <w:szCs w:val="20"/>
        </w:rPr>
        <w:t>require adjustments for the amount payable.</w:t>
      </w:r>
      <w:r w:rsidR="001178F1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Again depending on the materiality of the claim amounts</w:t>
      </w:r>
      <w:r w:rsidR="008A73E7" w:rsidRPr="00E05822">
        <w:rPr>
          <w:rFonts w:ascii="Cambria" w:eastAsia="Times New Roman" w:hAnsi="Cambria" w:cs="Calibri"/>
          <w:color w:val="333333"/>
          <w:sz w:val="20"/>
          <w:szCs w:val="20"/>
        </w:rPr>
        <w:t>,</w:t>
      </w:r>
      <w:r w:rsidR="001178F1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provisions may need to be established</w:t>
      </w:r>
      <w:r w:rsidR="008A73E7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for the adjusted claim amounts payable</w:t>
      </w:r>
      <w:r w:rsidR="001178F1" w:rsidRPr="00E05822">
        <w:rPr>
          <w:rFonts w:ascii="Cambria" w:eastAsia="Times New Roman" w:hAnsi="Cambria" w:cs="Calibri"/>
          <w:color w:val="333333"/>
          <w:sz w:val="20"/>
          <w:szCs w:val="20"/>
        </w:rPr>
        <w:t>.</w:t>
      </w:r>
    </w:p>
    <w:p w:rsidR="007360C0" w:rsidRDefault="00A0095A" w:rsidP="00256835">
      <w:pPr>
        <w:numPr>
          <w:ilvl w:val="0"/>
          <w:numId w:val="4"/>
        </w:numPr>
        <w:spacing w:before="150" w:after="0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Depending on the cause of the error (for example, chronic </w:t>
      </w:r>
      <w:r w:rsidR="00066593" w:rsidRPr="00E05822">
        <w:rPr>
          <w:rFonts w:ascii="Cambria" w:eastAsia="Times New Roman" w:hAnsi="Cambria" w:cs="Calibri"/>
          <w:color w:val="333333"/>
          <w:sz w:val="20"/>
          <w:szCs w:val="20"/>
        </w:rPr>
        <w:t>poor recordkeeping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) consider completing an inforce verification of the </w:t>
      </w:r>
      <w:r w:rsidR="008A73E7" w:rsidRPr="008A73E7">
        <w:rPr>
          <w:rFonts w:ascii="Cambria" w:eastAsia="Times New Roman" w:hAnsi="Cambria" w:cs="Calibri"/>
          <w:color w:val="333333"/>
          <w:sz w:val="20"/>
          <w:szCs w:val="20"/>
        </w:rPr>
        <w:t xml:space="preserve">reinsured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policies to identify any other discrepancies. </w:t>
      </w:r>
      <w:r w:rsidR="00F21BDB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It is best to resolve all known issues at one time. </w:t>
      </w:r>
    </w:p>
    <w:p w:rsidR="00051A4A" w:rsidRPr="00E05822" w:rsidRDefault="001178F1" w:rsidP="001178F1">
      <w:pPr>
        <w:spacing w:before="150" w:after="0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When the </w:t>
      </w:r>
      <w:r w:rsidR="004B6D85" w:rsidRPr="00E05822">
        <w:rPr>
          <w:rFonts w:ascii="Cambria" w:eastAsia="Times New Roman" w:hAnsi="Cambria" w:cs="Calibri"/>
          <w:color w:val="333333"/>
          <w:sz w:val="20"/>
          <w:szCs w:val="20"/>
        </w:rPr>
        <w:t>materiality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and details </w:t>
      </w:r>
      <w:r w:rsidR="00BB7281" w:rsidRPr="00E05822">
        <w:rPr>
          <w:rFonts w:ascii="Cambria" w:eastAsia="Times New Roman" w:hAnsi="Cambria" w:cs="Calibri"/>
          <w:color w:val="333333"/>
          <w:sz w:val="20"/>
          <w:szCs w:val="20"/>
        </w:rPr>
        <w:t>of the E &amp; O</w:t>
      </w:r>
      <w:r w:rsidR="00866B66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is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secured notify the other party promptly by including a</w:t>
      </w:r>
      <w:r w:rsidR="003B1579" w:rsidRPr="00E05822">
        <w:rPr>
          <w:rFonts w:ascii="Cambria" w:eastAsia="Times New Roman" w:hAnsi="Cambria" w:cs="Calibri"/>
          <w:color w:val="333333"/>
          <w:sz w:val="20"/>
          <w:szCs w:val="20"/>
        </w:rPr>
        <w:t>n electronic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list </w:t>
      </w:r>
      <w:r w:rsidR="00AA1F9C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(i.e., csv. format)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of the impacted policies</w:t>
      </w:r>
      <w:r w:rsidR="00924B98" w:rsidRPr="00E05822">
        <w:rPr>
          <w:rFonts w:ascii="Cambria" w:eastAsia="Times New Roman" w:hAnsi="Cambria" w:cs="Calibri"/>
          <w:color w:val="333333"/>
          <w:sz w:val="20"/>
          <w:szCs w:val="20"/>
        </w:rPr>
        <w:t>,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="006C0D3A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the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cause </w:t>
      </w:r>
      <w:r w:rsidR="000F6AC3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of the E &amp; O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and the resulting potential financial impact</w:t>
      </w:r>
      <w:r w:rsidR="00E407DE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involving the active and inactive </w:t>
      </w:r>
      <w:r w:rsidR="00924B98" w:rsidRPr="00E05822">
        <w:rPr>
          <w:rFonts w:ascii="Cambria" w:eastAsia="Times New Roman" w:hAnsi="Cambria" w:cs="Calibri"/>
          <w:color w:val="333333"/>
          <w:sz w:val="20"/>
          <w:szCs w:val="20"/>
        </w:rPr>
        <w:t>policies</w:t>
      </w:r>
      <w:r w:rsidR="00E407DE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and/or claims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. </w:t>
      </w:r>
      <w:r w:rsidR="00857816">
        <w:rPr>
          <w:rFonts w:ascii="Cambria" w:eastAsia="Times New Roman" w:hAnsi="Cambria" w:cs="Calibri"/>
          <w:color w:val="333333"/>
          <w:sz w:val="20"/>
          <w:szCs w:val="20"/>
        </w:rPr>
        <w:t>If the time required to complete this step is lengthy make sure to keep either party informed</w:t>
      </w:r>
      <w:r w:rsidR="00BF26E9">
        <w:rPr>
          <w:rFonts w:ascii="Cambria" w:eastAsia="Times New Roman" w:hAnsi="Cambria" w:cs="Calibri"/>
          <w:color w:val="333333"/>
          <w:sz w:val="20"/>
          <w:szCs w:val="20"/>
        </w:rPr>
        <w:t xml:space="preserve"> and available for questions</w:t>
      </w:r>
      <w:r w:rsidR="00244F85">
        <w:rPr>
          <w:rFonts w:ascii="Cambria" w:eastAsia="Times New Roman" w:hAnsi="Cambria" w:cs="Calibri"/>
          <w:color w:val="333333"/>
          <w:sz w:val="20"/>
          <w:szCs w:val="20"/>
        </w:rPr>
        <w:t>/feedback</w:t>
      </w:r>
      <w:r w:rsidR="00857816">
        <w:rPr>
          <w:rFonts w:ascii="Cambria" w:eastAsia="Times New Roman" w:hAnsi="Cambria" w:cs="Calibri"/>
          <w:color w:val="333333"/>
          <w:sz w:val="20"/>
          <w:szCs w:val="20"/>
        </w:rPr>
        <w:t xml:space="preserve">. If possible try </w:t>
      </w:r>
      <w:r w:rsidR="00BF26E9">
        <w:rPr>
          <w:rFonts w:ascii="Cambria" w:eastAsia="Times New Roman" w:hAnsi="Cambria" w:cs="Calibri"/>
          <w:color w:val="333333"/>
          <w:sz w:val="20"/>
          <w:szCs w:val="20"/>
        </w:rPr>
        <w:t xml:space="preserve">to </w:t>
      </w:r>
      <w:r w:rsidR="00857816">
        <w:rPr>
          <w:rFonts w:ascii="Cambria" w:eastAsia="Times New Roman" w:hAnsi="Cambria" w:cs="Calibri"/>
          <w:color w:val="333333"/>
          <w:sz w:val="20"/>
          <w:szCs w:val="20"/>
        </w:rPr>
        <w:t xml:space="preserve">remedy the cause of the error as soon as </w:t>
      </w:r>
      <w:r w:rsidR="00BF26E9">
        <w:rPr>
          <w:rFonts w:ascii="Cambria" w:eastAsia="Times New Roman" w:hAnsi="Cambria" w:cs="Calibri"/>
          <w:color w:val="333333"/>
          <w:sz w:val="20"/>
          <w:szCs w:val="20"/>
        </w:rPr>
        <w:t xml:space="preserve">it is </w:t>
      </w:r>
      <w:r w:rsidR="00857816">
        <w:rPr>
          <w:rFonts w:ascii="Cambria" w:eastAsia="Times New Roman" w:hAnsi="Cambria" w:cs="Calibri"/>
          <w:color w:val="333333"/>
          <w:sz w:val="20"/>
          <w:szCs w:val="20"/>
        </w:rPr>
        <w:t xml:space="preserve">identified to prevent future occurrences.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Approval and/or acceptance </w:t>
      </w:r>
      <w:r w:rsidR="00F13B36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of the error(s)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cannot be assumed and is governed by the terms of the </w:t>
      </w:r>
      <w:r w:rsidR="00F13B36" w:rsidRPr="00E05822">
        <w:rPr>
          <w:rFonts w:ascii="Cambria" w:eastAsia="Times New Roman" w:hAnsi="Cambria" w:cs="Calibri"/>
          <w:color w:val="333333"/>
          <w:sz w:val="20"/>
          <w:szCs w:val="20"/>
        </w:rPr>
        <w:t>treaty</w:t>
      </w:r>
      <w:r w:rsidR="00BB7281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. </w:t>
      </w:r>
      <w:r w:rsidR="00AB32BB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It is best not </w:t>
      </w:r>
      <w:r w:rsidR="00924B98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to </w:t>
      </w:r>
      <w:r w:rsidR="00AB32BB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report any adjustments from an E &amp; O in the monthly billing statement unless it has been mutually agreed upon by the ceding company and reinsurer.  </w:t>
      </w:r>
    </w:p>
    <w:p w:rsidR="00143C8F" w:rsidRPr="00AD467E" w:rsidRDefault="00636519" w:rsidP="00143C8F">
      <w:pPr>
        <w:pStyle w:val="Heading2"/>
      </w:pPr>
      <w:r>
        <w:rPr>
          <w:rFonts w:cs="Calibri"/>
        </w:rPr>
        <w:br w:type="page"/>
      </w:r>
      <w:r w:rsidR="00143C8F" w:rsidRPr="00AD467E">
        <w:lastRenderedPageBreak/>
        <w:t>Appendix  –</w:t>
      </w:r>
      <w:r w:rsidR="00143C8F">
        <w:t xml:space="preserve"> </w:t>
      </w:r>
      <w:r w:rsidR="00143C8F" w:rsidRPr="00AD467E">
        <w:t xml:space="preserve"> </w:t>
      </w:r>
      <w:r w:rsidR="00143C8F">
        <w:t>Data Clean Up Notifications template</w:t>
      </w:r>
    </w:p>
    <w:p w:rsidR="00455229" w:rsidRPr="00E05822" w:rsidRDefault="006E6642" w:rsidP="00E45832">
      <w:pPr>
        <w:spacing w:before="150" w:after="0" w:line="240" w:lineRule="auto"/>
        <w:rPr>
          <w:rFonts w:ascii="Cambria" w:eastAsia="Times New Roman" w:hAnsi="Cambria" w:cs="Calibri"/>
          <w:b/>
          <w:color w:val="333333"/>
          <w:sz w:val="20"/>
          <w:szCs w:val="20"/>
          <w:u w:val="single"/>
        </w:rPr>
      </w:pP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The basis of managing risk is accurate data. When the data is not </w:t>
      </w:r>
      <w:r w:rsidR="000C440B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accurate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efforts </w:t>
      </w:r>
      <w:r w:rsidR="005D586C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should be </w:t>
      </w:r>
      <w:r w:rsidR="00E5031E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taken to “scrub”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the data</w:t>
      </w:r>
      <w:r w:rsidR="000C440B" w:rsidRPr="00E05822">
        <w:rPr>
          <w:rFonts w:ascii="Cambria" w:eastAsia="Times New Roman" w:hAnsi="Cambria" w:cs="Calibri"/>
          <w:color w:val="333333"/>
          <w:sz w:val="20"/>
          <w:szCs w:val="20"/>
        </w:rPr>
        <w:t>. I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naccurate data </w:t>
      </w:r>
      <w:r w:rsidR="005D586C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can be revealed </w:t>
      </w:r>
      <w:r w:rsidR="000C440B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as part of an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E</w:t>
      </w:r>
      <w:r w:rsidR="000C440B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rror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&amp;</w:t>
      </w:r>
      <w:r w:rsidR="000C440B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Omission claim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, </w:t>
      </w:r>
      <w:r w:rsidR="00647027">
        <w:rPr>
          <w:rFonts w:ascii="Cambria" w:eastAsia="Times New Roman" w:hAnsi="Cambria" w:cs="Calibri"/>
          <w:color w:val="333333"/>
          <w:sz w:val="20"/>
          <w:szCs w:val="20"/>
        </w:rPr>
        <w:t xml:space="preserve">routine or periodic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audit</w:t>
      </w:r>
      <w:r w:rsidR="00E5031E" w:rsidRPr="00E05822">
        <w:rPr>
          <w:rFonts w:ascii="Cambria" w:eastAsia="Times New Roman" w:hAnsi="Cambria" w:cs="Calibri"/>
          <w:color w:val="333333"/>
          <w:sz w:val="20"/>
          <w:szCs w:val="20"/>
        </w:rPr>
        <w:t>s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, conversion to a new system or </w:t>
      </w:r>
      <w:proofErr w:type="gramStart"/>
      <w:r w:rsidRPr="00E05822">
        <w:rPr>
          <w:rFonts w:ascii="Cambria" w:eastAsia="Times New Roman" w:hAnsi="Cambria" w:cs="Calibri"/>
          <w:color w:val="333333"/>
          <w:sz w:val="20"/>
          <w:szCs w:val="20"/>
        </w:rPr>
        <w:t>an inforce</w:t>
      </w:r>
      <w:proofErr w:type="gramEnd"/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="00647027">
        <w:rPr>
          <w:rFonts w:ascii="Cambria" w:eastAsia="Times New Roman" w:hAnsi="Cambria" w:cs="Calibri"/>
          <w:color w:val="333333"/>
          <w:sz w:val="20"/>
          <w:szCs w:val="20"/>
        </w:rPr>
        <w:t>reconciliation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.  </w:t>
      </w:r>
      <w:r w:rsidR="00647027">
        <w:rPr>
          <w:rFonts w:ascii="Cambria" w:eastAsia="Times New Roman" w:hAnsi="Cambria" w:cs="Calibri"/>
          <w:color w:val="333333"/>
          <w:sz w:val="20"/>
          <w:szCs w:val="20"/>
        </w:rPr>
        <w:t>C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ommunicating </w:t>
      </w:r>
      <w:r w:rsidR="00C8495F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with the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impacted partners </w:t>
      </w:r>
      <w:r w:rsidR="00E45832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as soon possible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is </w:t>
      </w:r>
      <w:r w:rsidR="005B1DD7" w:rsidRPr="00E05822">
        <w:rPr>
          <w:rFonts w:ascii="Cambria" w:eastAsia="Times New Roman" w:hAnsi="Cambria" w:cs="Calibri"/>
          <w:color w:val="333333"/>
          <w:sz w:val="20"/>
          <w:szCs w:val="20"/>
        </w:rPr>
        <w:t>important</w:t>
      </w:r>
      <w:r w:rsidR="00E45832" w:rsidRPr="00E05822">
        <w:rPr>
          <w:rFonts w:ascii="Cambria" w:eastAsia="Times New Roman" w:hAnsi="Cambria" w:cs="Calibri"/>
          <w:color w:val="333333"/>
          <w:sz w:val="20"/>
          <w:szCs w:val="20"/>
        </w:rPr>
        <w:t>.</w:t>
      </w:r>
      <w:r w:rsidR="00947E81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</w:p>
    <w:p w:rsidR="005F567D" w:rsidRPr="00E05822" w:rsidRDefault="00947E81" w:rsidP="00455229">
      <w:pPr>
        <w:spacing w:before="150" w:after="0"/>
        <w:rPr>
          <w:rFonts w:ascii="Cambria" w:eastAsia="Times New Roman" w:hAnsi="Cambria" w:cs="Calibri"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Host a dialog with the business partner(s) before the clean-up to </w:t>
      </w:r>
      <w:r w:rsidR="002F34E3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reach agreement on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the data needing correction, the effective date of the correction and the </w:t>
      </w:r>
      <w:r w:rsidR="002F34E3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electronic file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format</w:t>
      </w:r>
      <w:r w:rsidR="00132AF1" w:rsidRPr="00E05822">
        <w:rPr>
          <w:rFonts w:ascii="Cambria" w:eastAsia="Times New Roman" w:hAnsi="Cambria" w:cs="Calibri"/>
          <w:color w:val="333333"/>
          <w:sz w:val="20"/>
          <w:szCs w:val="20"/>
        </w:rPr>
        <w:t>/data fields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of the </w:t>
      </w:r>
      <w:r w:rsidR="002F34E3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resulting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corrections.</w:t>
      </w:r>
      <w:r w:rsidR="002F34E3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="003A6C1E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Be prepared to provide a </w:t>
      </w:r>
      <w:r w:rsidR="00F06450">
        <w:rPr>
          <w:rFonts w:ascii="Cambria" w:eastAsia="Times New Roman" w:hAnsi="Cambria" w:cs="Calibri"/>
          <w:color w:val="333333"/>
          <w:sz w:val="20"/>
          <w:szCs w:val="20"/>
        </w:rPr>
        <w:t>“</w:t>
      </w:r>
      <w:r w:rsidR="003A6C1E" w:rsidRPr="00E05822">
        <w:rPr>
          <w:rFonts w:ascii="Cambria" w:eastAsia="Times New Roman" w:hAnsi="Cambria" w:cs="Calibri"/>
          <w:color w:val="333333"/>
          <w:sz w:val="20"/>
          <w:szCs w:val="20"/>
        </w:rPr>
        <w:t>before</w:t>
      </w:r>
      <w:r w:rsidR="00F06450">
        <w:rPr>
          <w:rFonts w:ascii="Cambria" w:eastAsia="Times New Roman" w:hAnsi="Cambria" w:cs="Calibri"/>
          <w:color w:val="333333"/>
          <w:sz w:val="20"/>
          <w:szCs w:val="20"/>
        </w:rPr>
        <w:t>”</w:t>
      </w:r>
      <w:r w:rsidR="003A6C1E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and </w:t>
      </w:r>
      <w:r w:rsidR="00F06450">
        <w:rPr>
          <w:rFonts w:ascii="Cambria" w:eastAsia="Times New Roman" w:hAnsi="Cambria" w:cs="Calibri"/>
          <w:color w:val="333333"/>
          <w:sz w:val="20"/>
          <w:szCs w:val="20"/>
        </w:rPr>
        <w:t>“</w:t>
      </w:r>
      <w:r w:rsidR="003A6C1E" w:rsidRPr="00E05822">
        <w:rPr>
          <w:rFonts w:ascii="Cambria" w:eastAsia="Times New Roman" w:hAnsi="Cambria" w:cs="Calibri"/>
          <w:color w:val="333333"/>
          <w:sz w:val="20"/>
          <w:szCs w:val="20"/>
        </w:rPr>
        <w:t>after</w:t>
      </w:r>
      <w:r w:rsidR="00F06450">
        <w:rPr>
          <w:rFonts w:ascii="Cambria" w:eastAsia="Times New Roman" w:hAnsi="Cambria" w:cs="Calibri"/>
          <w:color w:val="333333"/>
          <w:sz w:val="20"/>
          <w:szCs w:val="20"/>
        </w:rPr>
        <w:t>”</w:t>
      </w:r>
      <w:r w:rsidR="003A6C1E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="00B333D7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electronic file (i.e., csv. format) </w:t>
      </w:r>
      <w:r w:rsidR="003A6C1E" w:rsidRPr="00E05822">
        <w:rPr>
          <w:rFonts w:ascii="Cambria" w:eastAsia="Times New Roman" w:hAnsi="Cambria" w:cs="Calibri"/>
          <w:color w:val="333333"/>
          <w:sz w:val="20"/>
          <w:szCs w:val="20"/>
        </w:rPr>
        <w:t>illustrating the corrections</w:t>
      </w:r>
      <w:r w:rsidR="005D586C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and</w:t>
      </w:r>
      <w:r w:rsidR="00BF50F9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="003A6C1E" w:rsidRPr="00E05822">
        <w:rPr>
          <w:rFonts w:ascii="Cambria" w:eastAsia="Times New Roman" w:hAnsi="Cambria" w:cs="Calibri"/>
          <w:color w:val="333333"/>
          <w:sz w:val="20"/>
          <w:szCs w:val="20"/>
        </w:rPr>
        <w:t>resulting change</w:t>
      </w:r>
      <w:r w:rsidR="00132AF1" w:rsidRPr="00E05822">
        <w:rPr>
          <w:rFonts w:ascii="Cambria" w:eastAsia="Times New Roman" w:hAnsi="Cambria" w:cs="Calibri"/>
          <w:color w:val="333333"/>
          <w:sz w:val="20"/>
          <w:szCs w:val="20"/>
        </w:rPr>
        <w:t>s</w:t>
      </w:r>
      <w:r w:rsidR="003A6C1E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in the </w:t>
      </w:r>
      <w:r w:rsidR="00053CFF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1) </w:t>
      </w:r>
      <w:r w:rsidR="003A6C1E" w:rsidRPr="00E05822">
        <w:rPr>
          <w:rFonts w:ascii="Cambria" w:eastAsia="Times New Roman" w:hAnsi="Cambria" w:cs="Calibri"/>
          <w:color w:val="333333"/>
          <w:sz w:val="20"/>
          <w:szCs w:val="20"/>
        </w:rPr>
        <w:t>reinsured amount</w:t>
      </w:r>
      <w:r w:rsidR="00053CFF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, and 2) </w:t>
      </w:r>
      <w:r w:rsidR="003A6C1E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premium </w:t>
      </w:r>
      <w:r w:rsidR="00053CFF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amount </w:t>
      </w:r>
      <w:r w:rsidR="003A6C1E" w:rsidRPr="00E05822">
        <w:rPr>
          <w:rFonts w:ascii="Cambria" w:eastAsia="Times New Roman" w:hAnsi="Cambria" w:cs="Calibri"/>
          <w:color w:val="333333"/>
          <w:sz w:val="20"/>
          <w:szCs w:val="20"/>
        </w:rPr>
        <w:t>due</w:t>
      </w:r>
      <w:r w:rsidR="00053CFF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(refund)</w:t>
      </w:r>
      <w:r w:rsidR="00B333D7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="005D586C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in a format that facilitates </w:t>
      </w:r>
      <w:r w:rsidR="00053CFF" w:rsidRPr="00E05822">
        <w:rPr>
          <w:rFonts w:ascii="Cambria" w:eastAsia="Times New Roman" w:hAnsi="Cambria" w:cs="Calibri"/>
          <w:color w:val="333333"/>
          <w:sz w:val="20"/>
          <w:szCs w:val="20"/>
        </w:rPr>
        <w:t>the</w:t>
      </w:r>
      <w:r w:rsidR="005D586C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review process by the business </w:t>
      </w:r>
      <w:r w:rsidR="00B333D7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partner. </w:t>
      </w:r>
      <w:r w:rsidR="000C440B" w:rsidRPr="00E05822">
        <w:rPr>
          <w:rFonts w:ascii="Cambria" w:eastAsia="Times New Roman" w:hAnsi="Cambria" w:cs="Calibri"/>
          <w:color w:val="333333"/>
          <w:sz w:val="20"/>
          <w:szCs w:val="20"/>
        </w:rPr>
        <w:t>Reach agreement with your business partner</w:t>
      </w:r>
      <w:r w:rsidR="005D586C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on the </w:t>
      </w:r>
      <w:r w:rsidR="00C97371" w:rsidRPr="00E05822">
        <w:rPr>
          <w:rFonts w:ascii="Cambria" w:eastAsia="Times New Roman" w:hAnsi="Cambria" w:cs="Calibri"/>
          <w:color w:val="333333"/>
          <w:sz w:val="20"/>
          <w:szCs w:val="20"/>
        </w:rPr>
        <w:t>effective date of the cleanup</w:t>
      </w:r>
      <w:r w:rsidR="00B2063F" w:rsidRPr="00E05822">
        <w:rPr>
          <w:rFonts w:ascii="Cambria" w:eastAsia="Times New Roman" w:hAnsi="Cambria" w:cs="Calibri"/>
          <w:color w:val="333333"/>
          <w:sz w:val="20"/>
          <w:szCs w:val="20"/>
        </w:rPr>
        <w:t>.</w:t>
      </w:r>
      <w:r w:rsidR="000C440B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="00F06450">
        <w:rPr>
          <w:rFonts w:ascii="Cambria" w:eastAsia="Times New Roman" w:hAnsi="Cambria" w:cs="Calibri"/>
          <w:color w:val="333333"/>
          <w:sz w:val="20"/>
          <w:szCs w:val="20"/>
        </w:rPr>
        <w:t>Ensure that</w:t>
      </w:r>
      <w:r w:rsidR="00BD0CE6">
        <w:rPr>
          <w:rFonts w:ascii="Cambria" w:eastAsia="Times New Roman" w:hAnsi="Cambria" w:cs="Calibri"/>
          <w:color w:val="333333"/>
          <w:sz w:val="20"/>
          <w:szCs w:val="20"/>
        </w:rPr>
        <w:t xml:space="preserve"> the</w:t>
      </w:r>
      <w:r w:rsidR="00F06450">
        <w:rPr>
          <w:rFonts w:ascii="Cambria" w:eastAsia="Times New Roman" w:hAnsi="Cambria" w:cs="Calibri"/>
          <w:color w:val="333333"/>
          <w:sz w:val="20"/>
          <w:szCs w:val="20"/>
        </w:rPr>
        <w:t xml:space="preserve"> “after” data is reported in the regular reporting </w:t>
      </w:r>
      <w:r w:rsidR="00BD0CE6">
        <w:rPr>
          <w:rFonts w:ascii="Cambria" w:eastAsia="Times New Roman" w:hAnsi="Cambria" w:cs="Calibri"/>
          <w:color w:val="333333"/>
          <w:sz w:val="20"/>
          <w:szCs w:val="20"/>
        </w:rPr>
        <w:t>to</w:t>
      </w:r>
      <w:r w:rsidR="00F06450">
        <w:rPr>
          <w:rFonts w:ascii="Cambria" w:eastAsia="Times New Roman" w:hAnsi="Cambria" w:cs="Calibri"/>
          <w:color w:val="333333"/>
          <w:sz w:val="20"/>
          <w:szCs w:val="20"/>
        </w:rPr>
        <w:t xml:space="preserve"> ensure it is updated in the user systems. </w:t>
      </w:r>
      <w:r w:rsidR="000C440B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If the history is not available to make the correction retroactive, an estimate may be </w:t>
      </w:r>
      <w:r w:rsidR="00C97371" w:rsidRPr="00E05822">
        <w:rPr>
          <w:rFonts w:ascii="Cambria" w:eastAsia="Times New Roman" w:hAnsi="Cambria" w:cs="Calibri"/>
          <w:color w:val="333333"/>
          <w:sz w:val="20"/>
          <w:szCs w:val="20"/>
        </w:rPr>
        <w:t>necessary depending on the monetary impact</w:t>
      </w:r>
      <w:r w:rsidR="000C440B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. </w:t>
      </w:r>
    </w:p>
    <w:p w:rsidR="00143C8F" w:rsidRPr="00AD467E" w:rsidRDefault="00647027" w:rsidP="00143C8F">
      <w:pPr>
        <w:pStyle w:val="Heading2"/>
      </w:pPr>
      <w:r>
        <w:rPr>
          <w:rFonts w:eastAsia="Times New Roman" w:cs="Calibri"/>
          <w:color w:val="333333"/>
        </w:rPr>
        <w:t xml:space="preserve"> </w:t>
      </w:r>
      <w:r w:rsidR="005F567D">
        <w:rPr>
          <w:rFonts w:eastAsia="Times New Roman" w:cs="Calibri"/>
          <w:color w:val="333333"/>
        </w:rPr>
        <w:br w:type="page"/>
      </w:r>
      <w:r w:rsidR="00143C8F" w:rsidRPr="00AD467E">
        <w:lastRenderedPageBreak/>
        <w:t>Appendix  –</w:t>
      </w:r>
      <w:r w:rsidR="00143C8F">
        <w:t xml:space="preserve"> </w:t>
      </w:r>
      <w:r w:rsidR="00143C8F" w:rsidRPr="00AD467E">
        <w:t xml:space="preserve"> </w:t>
      </w:r>
      <w:r w:rsidR="00143C8F">
        <w:t>Changes in Billing Method template</w:t>
      </w:r>
    </w:p>
    <w:p w:rsidR="008845B8" w:rsidRPr="00E05822" w:rsidRDefault="005F567D" w:rsidP="005F567D">
      <w:pPr>
        <w:spacing w:before="150" w:after="0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The terms of the treaty specifies the billing and reporting method agreed upon. One method is for the reinsurer to </w:t>
      </w:r>
      <w:r w:rsidR="000F55C5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administer the reinsurance and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bill the ceding company for the reinsurance premiums due. </w:t>
      </w:r>
      <w:r w:rsidR="000F55C5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The other method involves the ceding company performing the reinsurance administration </w:t>
      </w:r>
      <w:r w:rsidR="008845B8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(refer to as self-administered) </w:t>
      </w:r>
      <w:r w:rsidR="000F55C5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and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calculat</w:t>
      </w:r>
      <w:r w:rsidR="005B52C3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ing/reporting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the amount </w:t>
      </w:r>
      <w:r w:rsidR="008845B8" w:rsidRPr="00E05822">
        <w:rPr>
          <w:rFonts w:ascii="Cambria" w:eastAsia="Times New Roman" w:hAnsi="Cambria" w:cs="Calibri"/>
          <w:color w:val="333333"/>
          <w:sz w:val="20"/>
          <w:szCs w:val="20"/>
        </w:rPr>
        <w:t>due to the reinsurer</w:t>
      </w:r>
      <w:r w:rsidR="0035095D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and in agreed upon format</w:t>
      </w:r>
      <w:r w:rsidR="008845B8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.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If the c</w:t>
      </w:r>
      <w:r w:rsidR="008845B8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eding company desires to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change </w:t>
      </w:r>
      <w:r w:rsidR="008845B8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the billing method a request must be submitted to the other party with sufficient advanced notice </w:t>
      </w:r>
      <w:r w:rsidR="0024350A">
        <w:rPr>
          <w:rFonts w:ascii="Cambria" w:eastAsia="Times New Roman" w:hAnsi="Cambria" w:cs="Calibri"/>
          <w:color w:val="333333"/>
          <w:sz w:val="20"/>
          <w:szCs w:val="20"/>
        </w:rPr>
        <w:t xml:space="preserve">(60-90 days) </w:t>
      </w:r>
      <w:r w:rsidR="008845B8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prior to the effective date of the change. The change must be mutually agreed upon by the ceding and reinsurer by means of an amendment to the treaty. </w:t>
      </w:r>
    </w:p>
    <w:p w:rsidR="005F567D" w:rsidRPr="00E05822" w:rsidRDefault="005F567D" w:rsidP="005F567D">
      <w:pPr>
        <w:spacing w:before="150" w:after="0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br/>
        <w:t>The initial request to change the billing m</w:t>
      </w:r>
      <w:r w:rsidR="008845B8" w:rsidRPr="00E05822">
        <w:rPr>
          <w:rFonts w:ascii="Cambria" w:eastAsia="Times New Roman" w:hAnsi="Cambria" w:cs="Calibri"/>
          <w:color w:val="333333"/>
          <w:sz w:val="20"/>
          <w:szCs w:val="20"/>
        </w:rPr>
        <w:t>ethod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should include the following items</w:t>
      </w:r>
      <w:r w:rsidR="00C123B1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as well as an in force verification to ensure </w:t>
      </w:r>
      <w:r w:rsidR="0035095D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that </w:t>
      </w:r>
      <w:r w:rsidR="00C123B1" w:rsidRPr="00E05822">
        <w:rPr>
          <w:rFonts w:ascii="Cambria" w:eastAsia="Times New Roman" w:hAnsi="Cambria" w:cs="Calibri"/>
          <w:color w:val="333333"/>
          <w:sz w:val="20"/>
          <w:szCs w:val="20"/>
        </w:rPr>
        <w:t>the data is accurate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: </w:t>
      </w:r>
    </w:p>
    <w:p w:rsidR="005F567D" w:rsidRPr="00E05822" w:rsidRDefault="005F567D" w:rsidP="003451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Request</w:t>
      </w:r>
      <w:r w:rsidR="00C123B1" w:rsidRPr="00E05822">
        <w:rPr>
          <w:rFonts w:ascii="Cambria" w:eastAsia="Times New Roman" w:hAnsi="Cambria" w:cs="Calibri"/>
          <w:color w:val="333333"/>
          <w:sz w:val="20"/>
          <w:szCs w:val="20"/>
        </w:rPr>
        <w:t>s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must be submitted in writing with </w:t>
      </w:r>
      <w:r w:rsidR="003451A1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the 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company </w:t>
      </w:r>
      <w:r w:rsidR="003451A1" w:rsidRPr="00E05822">
        <w:rPr>
          <w:rFonts w:ascii="Cambria" w:eastAsia="Times New Roman" w:hAnsi="Cambria" w:cs="Calibri"/>
          <w:color w:val="333333"/>
          <w:sz w:val="20"/>
          <w:szCs w:val="20"/>
        </w:rPr>
        <w:t>identifiers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and treat</w:t>
      </w:r>
      <w:r w:rsidR="00C123B1" w:rsidRPr="00E05822">
        <w:rPr>
          <w:rFonts w:ascii="Cambria" w:eastAsia="Times New Roman" w:hAnsi="Cambria" w:cs="Calibri"/>
          <w:color w:val="333333"/>
          <w:sz w:val="20"/>
          <w:szCs w:val="20"/>
        </w:rPr>
        <w:t>y number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s specified.</w:t>
      </w:r>
    </w:p>
    <w:p w:rsidR="005F567D" w:rsidRPr="00E05822" w:rsidRDefault="005F567D" w:rsidP="003451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Effective date of the change must be provided.</w:t>
      </w:r>
    </w:p>
    <w:p w:rsidR="005F567D" w:rsidRPr="00E05822" w:rsidRDefault="005F567D" w:rsidP="003451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A client contact for questions must be included.</w:t>
      </w:r>
    </w:p>
    <w:p w:rsidR="005F567D" w:rsidRPr="00E05822" w:rsidRDefault="005F567D" w:rsidP="003451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Sample statement file layout </w:t>
      </w:r>
      <w:r w:rsidR="00716C4F">
        <w:rPr>
          <w:rFonts w:ascii="Cambria" w:eastAsia="Times New Roman" w:hAnsi="Cambria" w:cs="Calibri"/>
          <w:color w:val="333333"/>
          <w:sz w:val="20"/>
          <w:szCs w:val="20"/>
        </w:rPr>
        <w:t>provided (if they are going to s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>elf-administration).</w:t>
      </w:r>
    </w:p>
    <w:p w:rsidR="005F567D" w:rsidRPr="00E05822" w:rsidRDefault="005F567D" w:rsidP="005F567D">
      <w:pPr>
        <w:spacing w:before="150" w:after="0" w:line="240" w:lineRule="auto"/>
        <w:rPr>
          <w:rFonts w:ascii="Cambria" w:eastAsia="Times New Roman" w:hAnsi="Cambria" w:cs="Calibri"/>
          <w:i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b/>
          <w:bCs/>
          <w:i/>
          <w:iCs/>
          <w:color w:val="333333"/>
          <w:sz w:val="20"/>
          <w:szCs w:val="20"/>
        </w:rPr>
        <w:t>NOTE: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Pr="00E05822">
        <w:rPr>
          <w:rFonts w:ascii="Cambria" w:eastAsia="Times New Roman" w:hAnsi="Cambria" w:cs="Calibri"/>
          <w:i/>
          <w:iCs/>
          <w:color w:val="333333"/>
          <w:sz w:val="20"/>
          <w:szCs w:val="20"/>
        </w:rPr>
        <w:t xml:space="preserve">The synchronization of </w:t>
      </w:r>
      <w:r w:rsidR="00C123B1" w:rsidRPr="00E05822">
        <w:rPr>
          <w:rFonts w:ascii="Cambria" w:eastAsia="Times New Roman" w:hAnsi="Cambria" w:cs="Calibri"/>
          <w:i/>
          <w:iCs/>
          <w:color w:val="333333"/>
          <w:sz w:val="20"/>
          <w:szCs w:val="20"/>
        </w:rPr>
        <w:t xml:space="preserve">the </w:t>
      </w:r>
      <w:r w:rsidRPr="00E05822">
        <w:rPr>
          <w:rFonts w:ascii="Cambria" w:eastAsia="Times New Roman" w:hAnsi="Cambria" w:cs="Calibri"/>
          <w:i/>
          <w:iCs/>
          <w:color w:val="333333"/>
          <w:sz w:val="20"/>
          <w:szCs w:val="20"/>
        </w:rPr>
        <w:t>inforce and transactions is very important and will avoid reconciliation problems later.</w:t>
      </w: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  <w:r w:rsidR="0035095D" w:rsidRPr="00E05822">
        <w:rPr>
          <w:rFonts w:ascii="Cambria" w:eastAsia="Times New Roman" w:hAnsi="Cambria" w:cs="Calibri"/>
          <w:i/>
          <w:color w:val="333333"/>
          <w:sz w:val="20"/>
          <w:szCs w:val="20"/>
        </w:rPr>
        <w:t xml:space="preserve">By </w:t>
      </w:r>
      <w:r w:rsidR="0035095D" w:rsidRPr="0035095D">
        <w:rPr>
          <w:rFonts w:ascii="Cambria" w:eastAsia="Times New Roman" w:hAnsi="Cambria" w:cs="Calibri"/>
          <w:i/>
          <w:color w:val="333333"/>
          <w:sz w:val="20"/>
          <w:szCs w:val="20"/>
        </w:rPr>
        <w:t xml:space="preserve">running the billing in parallel </w:t>
      </w:r>
      <w:r w:rsidR="00C574A2">
        <w:rPr>
          <w:rFonts w:ascii="Cambria" w:eastAsia="Times New Roman" w:hAnsi="Cambria" w:cs="Calibri"/>
          <w:i/>
          <w:color w:val="333333"/>
          <w:sz w:val="20"/>
          <w:szCs w:val="20"/>
        </w:rPr>
        <w:t xml:space="preserve">before the change </w:t>
      </w:r>
      <w:r w:rsidR="0035095D" w:rsidRPr="00E05822">
        <w:rPr>
          <w:rFonts w:ascii="Cambria" w:eastAsia="Times New Roman" w:hAnsi="Cambria" w:cs="Calibri"/>
          <w:i/>
          <w:color w:val="333333"/>
          <w:sz w:val="20"/>
          <w:szCs w:val="20"/>
        </w:rPr>
        <w:t xml:space="preserve">the reinsurer and ceding can compare results and thereby reduce the number of </w:t>
      </w:r>
      <w:r w:rsidR="00456676">
        <w:rPr>
          <w:rFonts w:ascii="Cambria" w:eastAsia="Times New Roman" w:hAnsi="Cambria" w:cs="Calibri"/>
          <w:i/>
          <w:color w:val="333333"/>
          <w:sz w:val="20"/>
          <w:szCs w:val="20"/>
        </w:rPr>
        <w:t>corrections</w:t>
      </w:r>
      <w:r w:rsidR="0035095D" w:rsidRPr="00E05822">
        <w:rPr>
          <w:rFonts w:ascii="Cambria" w:eastAsia="Times New Roman" w:hAnsi="Cambria" w:cs="Calibri"/>
          <w:i/>
          <w:color w:val="333333"/>
          <w:sz w:val="20"/>
          <w:szCs w:val="20"/>
        </w:rPr>
        <w:t xml:space="preserve"> after the change.  </w:t>
      </w:r>
    </w:p>
    <w:p w:rsidR="005F567D" w:rsidRPr="00E05822" w:rsidRDefault="00C574A2" w:rsidP="00C123B1">
      <w:pPr>
        <w:spacing w:before="150" w:after="0" w:line="240" w:lineRule="auto"/>
        <w:rPr>
          <w:rFonts w:ascii="Cambria" w:eastAsia="Times New Roman" w:hAnsi="Cambria" w:cs="Calibri"/>
          <w:color w:val="333333"/>
          <w:sz w:val="20"/>
          <w:szCs w:val="20"/>
        </w:rPr>
      </w:pPr>
      <w:r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After approval, the treaties will be amended to reflect the agreed upon change in billing method, reporting requirements and timing. </w:t>
      </w:r>
      <w:r w:rsidR="005F567D" w:rsidRPr="00E05822">
        <w:rPr>
          <w:rFonts w:ascii="Cambria" w:eastAsia="Times New Roman" w:hAnsi="Cambria" w:cs="Calibri"/>
          <w:color w:val="333333"/>
          <w:sz w:val="20"/>
          <w:szCs w:val="20"/>
        </w:rPr>
        <w:t xml:space="preserve"> </w:t>
      </w:r>
    </w:p>
    <w:p w:rsidR="00051A4A" w:rsidRPr="002A319E" w:rsidRDefault="005F567D" w:rsidP="00C123B1">
      <w:pPr>
        <w:spacing w:before="150" w:after="0" w:line="240" w:lineRule="auto"/>
        <w:rPr>
          <w:rFonts w:cs="Calibri"/>
        </w:rPr>
      </w:pPr>
      <w:r w:rsidRPr="002A319E">
        <w:rPr>
          <w:rFonts w:eastAsia="Times New Roman" w:cs="Calibri"/>
          <w:color w:val="333333"/>
        </w:rPr>
        <w:br/>
      </w:r>
      <w:r w:rsidRPr="002A319E">
        <w:rPr>
          <w:rFonts w:eastAsia="Times New Roman" w:cs="Calibri"/>
          <w:color w:val="333333"/>
        </w:rPr>
        <w:br/>
      </w:r>
    </w:p>
    <w:sectPr w:rsidR="00051A4A" w:rsidRPr="002A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57B"/>
    <w:multiLevelType w:val="multilevel"/>
    <w:tmpl w:val="211C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953A97"/>
    <w:multiLevelType w:val="hybridMultilevel"/>
    <w:tmpl w:val="F87EA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03345"/>
    <w:multiLevelType w:val="multilevel"/>
    <w:tmpl w:val="332C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70FE4"/>
    <w:multiLevelType w:val="multilevel"/>
    <w:tmpl w:val="7CBA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F2015F"/>
    <w:multiLevelType w:val="multilevel"/>
    <w:tmpl w:val="A5CA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E54F2"/>
    <w:multiLevelType w:val="multilevel"/>
    <w:tmpl w:val="0F0C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10CF1"/>
    <w:multiLevelType w:val="hybridMultilevel"/>
    <w:tmpl w:val="99ACC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A2079"/>
    <w:multiLevelType w:val="hybridMultilevel"/>
    <w:tmpl w:val="E87A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56E2F"/>
    <w:multiLevelType w:val="multilevel"/>
    <w:tmpl w:val="8350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292C2E"/>
    <w:multiLevelType w:val="multilevel"/>
    <w:tmpl w:val="2B10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pka, Karen">
    <w15:presenceInfo w15:providerId="AD" w15:userId="S-1-5-21-2085822419-1801930187-267877851-3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4A"/>
    <w:rsid w:val="00051A4A"/>
    <w:rsid w:val="00053CFF"/>
    <w:rsid w:val="00066593"/>
    <w:rsid w:val="000C440B"/>
    <w:rsid w:val="000D6990"/>
    <w:rsid w:val="000F55C5"/>
    <w:rsid w:val="000F6AC3"/>
    <w:rsid w:val="001116F7"/>
    <w:rsid w:val="001178F1"/>
    <w:rsid w:val="00132AF1"/>
    <w:rsid w:val="00143C8F"/>
    <w:rsid w:val="00151DAC"/>
    <w:rsid w:val="001E5421"/>
    <w:rsid w:val="0022529D"/>
    <w:rsid w:val="00226880"/>
    <w:rsid w:val="0024235D"/>
    <w:rsid w:val="0024350A"/>
    <w:rsid w:val="00244F85"/>
    <w:rsid w:val="00256835"/>
    <w:rsid w:val="002A319E"/>
    <w:rsid w:val="002E0E60"/>
    <w:rsid w:val="002F34E3"/>
    <w:rsid w:val="003310FC"/>
    <w:rsid w:val="003451A1"/>
    <w:rsid w:val="0035095D"/>
    <w:rsid w:val="00353552"/>
    <w:rsid w:val="003A6C1E"/>
    <w:rsid w:val="003B1579"/>
    <w:rsid w:val="003E4DA8"/>
    <w:rsid w:val="003E5A76"/>
    <w:rsid w:val="004179B2"/>
    <w:rsid w:val="00430CA0"/>
    <w:rsid w:val="00455229"/>
    <w:rsid w:val="00456676"/>
    <w:rsid w:val="00477DF2"/>
    <w:rsid w:val="004B6D85"/>
    <w:rsid w:val="00502C16"/>
    <w:rsid w:val="005B1DD7"/>
    <w:rsid w:val="005B52C3"/>
    <w:rsid w:val="005D586C"/>
    <w:rsid w:val="005F567D"/>
    <w:rsid w:val="00636519"/>
    <w:rsid w:val="0064359C"/>
    <w:rsid w:val="00647027"/>
    <w:rsid w:val="006758ED"/>
    <w:rsid w:val="00681B15"/>
    <w:rsid w:val="006C0D3A"/>
    <w:rsid w:val="006C44AC"/>
    <w:rsid w:val="006E6642"/>
    <w:rsid w:val="006F431A"/>
    <w:rsid w:val="00716C4F"/>
    <w:rsid w:val="007220AC"/>
    <w:rsid w:val="007360C0"/>
    <w:rsid w:val="00762EB3"/>
    <w:rsid w:val="007644C3"/>
    <w:rsid w:val="00857816"/>
    <w:rsid w:val="00866B66"/>
    <w:rsid w:val="008845B8"/>
    <w:rsid w:val="008A73E7"/>
    <w:rsid w:val="00924B98"/>
    <w:rsid w:val="00947E81"/>
    <w:rsid w:val="009B6F85"/>
    <w:rsid w:val="00A0095A"/>
    <w:rsid w:val="00A21940"/>
    <w:rsid w:val="00A45D00"/>
    <w:rsid w:val="00AA1F9C"/>
    <w:rsid w:val="00AB32BB"/>
    <w:rsid w:val="00AC5FA7"/>
    <w:rsid w:val="00B2063F"/>
    <w:rsid w:val="00B333D7"/>
    <w:rsid w:val="00B74267"/>
    <w:rsid w:val="00B75A4A"/>
    <w:rsid w:val="00BB7281"/>
    <w:rsid w:val="00BD0CE6"/>
    <w:rsid w:val="00BF26E9"/>
    <w:rsid w:val="00BF50F9"/>
    <w:rsid w:val="00C123B1"/>
    <w:rsid w:val="00C574A2"/>
    <w:rsid w:val="00C62895"/>
    <w:rsid w:val="00C8495F"/>
    <w:rsid w:val="00C97371"/>
    <w:rsid w:val="00DD6BF7"/>
    <w:rsid w:val="00E05822"/>
    <w:rsid w:val="00E407DE"/>
    <w:rsid w:val="00E445F9"/>
    <w:rsid w:val="00E45832"/>
    <w:rsid w:val="00E5031E"/>
    <w:rsid w:val="00F0521B"/>
    <w:rsid w:val="00F06450"/>
    <w:rsid w:val="00F07FB4"/>
    <w:rsid w:val="00F13B36"/>
    <w:rsid w:val="00F21BDB"/>
    <w:rsid w:val="00F71556"/>
    <w:rsid w:val="00F77D81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3C8F"/>
    <w:pPr>
      <w:keepNext/>
      <w:keepLines/>
      <w:pBdr>
        <w:top w:val="single" w:sz="4" w:space="1" w:color="5B9BD5"/>
      </w:pBdr>
      <w:tabs>
        <w:tab w:val="left" w:pos="360"/>
      </w:tabs>
      <w:spacing w:before="240" w:after="120"/>
      <w:ind w:left="72" w:right="72"/>
      <w:outlineLvl w:val="1"/>
    </w:pPr>
    <w:rPr>
      <w:rFonts w:eastAsia="SimSun" w:cs="Tahoma"/>
      <w:color w:val="2E74B5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143C8F"/>
    <w:rPr>
      <w:rFonts w:eastAsia="SimSun" w:cs="Tahoma"/>
      <w:color w:val="2E74B5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3C8F"/>
    <w:pPr>
      <w:keepNext/>
      <w:keepLines/>
      <w:pBdr>
        <w:top w:val="single" w:sz="4" w:space="1" w:color="5B9BD5"/>
      </w:pBdr>
      <w:tabs>
        <w:tab w:val="left" w:pos="360"/>
      </w:tabs>
      <w:spacing w:before="240" w:after="120"/>
      <w:ind w:left="72" w:right="72"/>
      <w:outlineLvl w:val="1"/>
    </w:pPr>
    <w:rPr>
      <w:rFonts w:eastAsia="SimSun" w:cs="Tahoma"/>
      <w:color w:val="2E74B5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143C8F"/>
    <w:rPr>
      <w:rFonts w:eastAsia="SimSun" w:cs="Tahoma"/>
      <w:color w:val="2E74B5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6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3143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9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347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C6DA-B793-4E1A-9690-814509B4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Optimum Inc.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Singletary, Melanie</dc:creator>
  <cp:lastModifiedBy>Pflaum Genevra</cp:lastModifiedBy>
  <cp:revision>2</cp:revision>
  <dcterms:created xsi:type="dcterms:W3CDTF">2016-10-24T17:46:00Z</dcterms:created>
  <dcterms:modified xsi:type="dcterms:W3CDTF">2016-10-24T17:46:00Z</dcterms:modified>
</cp:coreProperties>
</file>